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929CE" w14:textId="77777777" w:rsidR="00266BBF" w:rsidRDefault="00266BBF" w:rsidP="00F36A7A">
      <w:pPr>
        <w:pStyle w:val="ListParagraph"/>
        <w:rPr>
          <w:rStyle w:val="SubtleReference"/>
        </w:rPr>
      </w:pPr>
      <w:r w:rsidRPr="00266BBF">
        <w:rPr>
          <w:b/>
          <w:i/>
          <w:smallCaps/>
          <w:noProof/>
          <w:color w:val="70AD47" w:themeColor="accent6"/>
          <w:sz w:val="32"/>
          <w:szCs w:val="32"/>
          <w:lang w:val="hr-HR"/>
        </w:rPr>
        <w:drawing>
          <wp:inline distT="0" distB="0" distL="0" distR="0" wp14:anchorId="5B302C53" wp14:editId="6221653C">
            <wp:extent cx="2255520" cy="552450"/>
            <wp:effectExtent l="0" t="0" r="0" b="0"/>
            <wp:docPr id="1" name="Slika 1" descr="http://ekopapir.hr/wp-content/uploads/2017/0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d-csp4-image" descr="http://ekopapir.hr/wp-content/uploads/2017/01/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7825" cy="582406"/>
                    </a:xfrm>
                    <a:prstGeom prst="rect">
                      <a:avLst/>
                    </a:prstGeom>
                    <a:noFill/>
                    <a:ln>
                      <a:noFill/>
                    </a:ln>
                  </pic:spPr>
                </pic:pic>
              </a:graphicData>
            </a:graphic>
          </wp:inline>
        </w:drawing>
      </w:r>
    </w:p>
    <w:p w14:paraId="38757D9B" w14:textId="77777777" w:rsidR="000F6676" w:rsidRPr="00F36A7A" w:rsidRDefault="000F6676" w:rsidP="00F36A7A">
      <w:pPr>
        <w:pStyle w:val="ListParagraph"/>
        <w:rPr>
          <w:rStyle w:val="SubtleReference"/>
        </w:rPr>
      </w:pPr>
    </w:p>
    <w:p w14:paraId="359F67CA" w14:textId="77777777" w:rsidR="00DF7B5F" w:rsidRDefault="00DF7B5F" w:rsidP="00DF7B5F">
      <w:pPr>
        <w:jc w:val="center"/>
        <w:rPr>
          <w:b/>
          <w:i/>
          <w:sz w:val="32"/>
          <w:szCs w:val="32"/>
          <w:u w:val="single"/>
        </w:rPr>
      </w:pPr>
      <w:r w:rsidRPr="007B3649">
        <w:rPr>
          <w:b/>
          <w:i/>
          <w:sz w:val="32"/>
          <w:szCs w:val="32"/>
          <w:u w:val="single"/>
        </w:rPr>
        <w:t>Declaration of Compliance</w:t>
      </w:r>
    </w:p>
    <w:p w14:paraId="3F5D7431" w14:textId="77777777" w:rsidR="00DF7B5F" w:rsidRPr="00404C47" w:rsidRDefault="00DF7B5F" w:rsidP="00DF7B5F">
      <w:pPr>
        <w:rPr>
          <w:b/>
          <w:sz w:val="24"/>
          <w:szCs w:val="24"/>
        </w:rPr>
      </w:pPr>
    </w:p>
    <w:p w14:paraId="7F3F6466" w14:textId="77777777" w:rsidR="00DF7B5F" w:rsidRDefault="00DF7B5F" w:rsidP="00DF7B5F">
      <w:r>
        <w:t>This Declaration of Compliance</w:t>
      </w:r>
      <w:r w:rsidRPr="00FA7776">
        <w:t xml:space="preserve"> of E</w:t>
      </w:r>
      <w:r>
        <w:t>KO PAPIR</w:t>
      </w:r>
      <w:r w:rsidRPr="00FA7776">
        <w:t xml:space="preserve"> d.o.o. hereby certif</w:t>
      </w:r>
      <w:r>
        <w:t xml:space="preserve">ies </w:t>
      </w:r>
      <w:r w:rsidRPr="00FA7776">
        <w:t>th</w:t>
      </w:r>
      <w:r>
        <w:t>at the products listed here</w:t>
      </w:r>
      <w:r w:rsidRPr="00FA7776">
        <w:t xml:space="preserve"> </w:t>
      </w:r>
      <w:r>
        <w:t xml:space="preserve">are in accordance with: </w:t>
      </w:r>
    </w:p>
    <w:p w14:paraId="3DFB8CC6" w14:textId="77777777" w:rsidR="00DF7B5F" w:rsidRDefault="00DF7B5F" w:rsidP="00DF7B5F">
      <w:pPr>
        <w:pStyle w:val="ListParagraph"/>
        <w:numPr>
          <w:ilvl w:val="0"/>
          <w:numId w:val="6"/>
        </w:numPr>
        <w:spacing w:after="200" w:line="276" w:lineRule="auto"/>
      </w:pPr>
      <w:r w:rsidRPr="007B3649">
        <w:rPr>
          <w:b/>
        </w:rPr>
        <w:t>EU-Framework Regulation (EC) No 1935/2004</w:t>
      </w:r>
      <w:r w:rsidRPr="00AC3E97">
        <w:t xml:space="preserve"> on materials and art</w:t>
      </w:r>
      <w:r>
        <w:t>icles intended for food contact</w:t>
      </w:r>
    </w:p>
    <w:p w14:paraId="76545B2C" w14:textId="77777777" w:rsidR="00DF7B5F" w:rsidRDefault="00DF7B5F" w:rsidP="00DF7B5F">
      <w:pPr>
        <w:pStyle w:val="ListParagraph"/>
        <w:numPr>
          <w:ilvl w:val="0"/>
          <w:numId w:val="6"/>
        </w:numPr>
        <w:spacing w:after="200" w:line="276" w:lineRule="auto"/>
      </w:pPr>
      <w:r w:rsidRPr="007B3649">
        <w:rPr>
          <w:b/>
        </w:rPr>
        <w:t>Regulation (EC) No 2023/2006 on GMP</w:t>
      </w:r>
      <w:r>
        <w:t xml:space="preserve"> –Good Manufacturing Practices</w:t>
      </w:r>
    </w:p>
    <w:p w14:paraId="1D3A9F9F" w14:textId="77777777" w:rsidR="00DF7B5F" w:rsidRDefault="00DF7B5F" w:rsidP="00DF7B5F">
      <w:pPr>
        <w:pStyle w:val="ListParagraph"/>
        <w:numPr>
          <w:ilvl w:val="0"/>
          <w:numId w:val="6"/>
        </w:numPr>
        <w:spacing w:after="200" w:line="276" w:lineRule="auto"/>
      </w:pPr>
      <w:r w:rsidRPr="007B3649">
        <w:rPr>
          <w:b/>
        </w:rPr>
        <w:t>Regulation (EC) No 94/62/EC</w:t>
      </w:r>
      <w:r w:rsidRPr="00AC3E97">
        <w:t xml:space="preserve"> –on packaging and packaging waste amendments.</w:t>
      </w:r>
    </w:p>
    <w:p w14:paraId="6D0A5B52" w14:textId="77777777" w:rsidR="00DF7B5F" w:rsidRDefault="00DF7B5F" w:rsidP="00DF7B5F">
      <w:pPr>
        <w:pStyle w:val="ListParagraph"/>
        <w:numPr>
          <w:ilvl w:val="0"/>
          <w:numId w:val="6"/>
        </w:numPr>
        <w:spacing w:after="200" w:line="276" w:lineRule="auto"/>
      </w:pPr>
      <w:r w:rsidRPr="007B3649">
        <w:rPr>
          <w:b/>
        </w:rPr>
        <w:t>German BfR Recommendations on Food Contact Materials</w:t>
      </w:r>
      <w:r w:rsidRPr="00AC3E97">
        <w:t>: recommendation III on “Polyethylene” and recommendation XXXVI on “Paper and Board for Food Contact</w:t>
      </w:r>
      <w:r>
        <w:t>”</w:t>
      </w:r>
    </w:p>
    <w:p w14:paraId="415E3A59" w14:textId="77777777" w:rsidR="00DF7B5F" w:rsidRDefault="00DF7B5F" w:rsidP="00DF7B5F">
      <w:pPr>
        <w:pStyle w:val="ListParagraph"/>
        <w:numPr>
          <w:ilvl w:val="0"/>
          <w:numId w:val="6"/>
        </w:numPr>
        <w:spacing w:after="200" w:line="276" w:lineRule="auto"/>
      </w:pPr>
      <w:r w:rsidRPr="00AC3E97">
        <w:t>Swiss SR 817.02 (Art 33, 34), SR 817.02</w:t>
      </w:r>
      <w:r>
        <w:t>3.21, including last amendment</w:t>
      </w:r>
    </w:p>
    <w:p w14:paraId="56F12EFD" w14:textId="77777777" w:rsidR="00DF7B5F" w:rsidRDefault="00DF7B5F" w:rsidP="00DF7B5F">
      <w:pPr>
        <w:pStyle w:val="ListParagraph"/>
        <w:numPr>
          <w:ilvl w:val="0"/>
          <w:numId w:val="6"/>
        </w:numPr>
        <w:spacing w:after="200" w:line="276" w:lineRule="auto"/>
      </w:pPr>
      <w:r w:rsidRPr="007B3649">
        <w:rPr>
          <w:b/>
        </w:rPr>
        <w:t>The plastic complies with RE 2011/10/EC</w:t>
      </w:r>
      <w:r w:rsidRPr="00AC3E97">
        <w:t xml:space="preserve"> and subsequent amendments.</w:t>
      </w:r>
    </w:p>
    <w:p w14:paraId="7DA484C3" w14:textId="45D700B7" w:rsidR="00DF7B5F" w:rsidRDefault="00DF7B5F" w:rsidP="00DF7B5F">
      <w:pPr>
        <w:pStyle w:val="ListParagraph"/>
      </w:pPr>
      <w:r w:rsidRPr="00AC3E97">
        <w:t>Monomers or Additives used for producing these raw materials with specific migration limits, which are listed in Appendix I or II of the (EU) regulation No. 10/2011,</w:t>
      </w:r>
      <w:r w:rsidR="00D10DBC">
        <w:t xml:space="preserve"> </w:t>
      </w:r>
      <w:r w:rsidRPr="00AC3E97">
        <w:t>don’t exceed the specified limits.</w:t>
      </w:r>
    </w:p>
    <w:p w14:paraId="2B86196A" w14:textId="77777777" w:rsidR="00DF7B5F" w:rsidRDefault="00DF7B5F" w:rsidP="00DF7B5F">
      <w:pPr>
        <w:pStyle w:val="ListParagraph"/>
      </w:pPr>
    </w:p>
    <w:tbl>
      <w:tblPr>
        <w:tblStyle w:val="GridTable1Light"/>
        <w:tblW w:w="0" w:type="auto"/>
        <w:tblLook w:val="04A0" w:firstRow="1" w:lastRow="0" w:firstColumn="1" w:lastColumn="0" w:noHBand="0" w:noVBand="1"/>
      </w:tblPr>
      <w:tblGrid>
        <w:gridCol w:w="2265"/>
        <w:gridCol w:w="2265"/>
        <w:gridCol w:w="2266"/>
        <w:gridCol w:w="2266"/>
      </w:tblGrid>
      <w:tr w:rsidR="00DF7B5F" w:rsidRPr="00A5350E" w14:paraId="081A1A13" w14:textId="77777777" w:rsidTr="004F2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289B2A0" w14:textId="77777777" w:rsidR="00DF7B5F" w:rsidRPr="00A5350E" w:rsidRDefault="00DF7B5F" w:rsidP="004F269F">
            <w:pPr>
              <w:spacing w:after="160" w:line="259" w:lineRule="auto"/>
              <w:jc w:val="both"/>
              <w:rPr>
                <w:sz w:val="24"/>
                <w:szCs w:val="24"/>
              </w:rPr>
            </w:pPr>
            <w:r w:rsidRPr="00A5350E">
              <w:rPr>
                <w:sz w:val="24"/>
                <w:szCs w:val="24"/>
              </w:rPr>
              <w:t>Product</w:t>
            </w:r>
          </w:p>
        </w:tc>
        <w:tc>
          <w:tcPr>
            <w:tcW w:w="2265" w:type="dxa"/>
          </w:tcPr>
          <w:p w14:paraId="07968A08" w14:textId="77777777" w:rsidR="00DF7B5F" w:rsidRPr="00A5350E" w:rsidRDefault="00DF7B5F" w:rsidP="004F269F">
            <w:pPr>
              <w:spacing w:after="160" w:line="259"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5350E">
              <w:rPr>
                <w:sz w:val="24"/>
                <w:szCs w:val="24"/>
              </w:rPr>
              <w:t>Description</w:t>
            </w:r>
          </w:p>
        </w:tc>
        <w:tc>
          <w:tcPr>
            <w:tcW w:w="2266" w:type="dxa"/>
          </w:tcPr>
          <w:p w14:paraId="353A0995" w14:textId="77777777" w:rsidR="00DF7B5F" w:rsidRPr="00A5350E" w:rsidRDefault="00DF7B5F" w:rsidP="004F269F">
            <w:pPr>
              <w:spacing w:after="160" w:line="259"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5350E">
              <w:rPr>
                <w:sz w:val="24"/>
                <w:szCs w:val="24"/>
              </w:rPr>
              <w:t>Food contact</w:t>
            </w:r>
          </w:p>
        </w:tc>
        <w:tc>
          <w:tcPr>
            <w:tcW w:w="2266" w:type="dxa"/>
          </w:tcPr>
          <w:p w14:paraId="0E8E6735" w14:textId="77777777" w:rsidR="00DF7B5F" w:rsidRPr="00A5350E" w:rsidRDefault="00DF7B5F" w:rsidP="004F269F">
            <w:pPr>
              <w:spacing w:after="160" w:line="259" w:lineRule="auto"/>
              <w:jc w:val="both"/>
              <w:cnfStyle w:val="100000000000" w:firstRow="1" w:lastRow="0" w:firstColumn="0" w:lastColumn="0" w:oddVBand="0" w:evenVBand="0" w:oddHBand="0" w:evenHBand="0" w:firstRowFirstColumn="0" w:firstRowLastColumn="0" w:lastRowFirstColumn="0" w:lastRowLastColumn="0"/>
              <w:rPr>
                <w:sz w:val="24"/>
                <w:szCs w:val="24"/>
              </w:rPr>
            </w:pPr>
            <w:r w:rsidRPr="00A5350E">
              <w:rPr>
                <w:sz w:val="24"/>
                <w:szCs w:val="24"/>
              </w:rPr>
              <w:t xml:space="preserve">Production site </w:t>
            </w:r>
          </w:p>
        </w:tc>
      </w:tr>
      <w:tr w:rsidR="00DF7B5F" w:rsidRPr="00A5350E" w14:paraId="2FC96707" w14:textId="77777777" w:rsidTr="004F269F">
        <w:tc>
          <w:tcPr>
            <w:cnfStyle w:val="001000000000" w:firstRow="0" w:lastRow="0" w:firstColumn="1" w:lastColumn="0" w:oddVBand="0" w:evenVBand="0" w:oddHBand="0" w:evenHBand="0" w:firstRowFirstColumn="0" w:firstRowLastColumn="0" w:lastRowFirstColumn="0" w:lastRowLastColumn="0"/>
            <w:tcW w:w="2265" w:type="dxa"/>
          </w:tcPr>
          <w:p w14:paraId="6C66F8C2" w14:textId="77777777" w:rsidR="00DF7B5F" w:rsidRPr="00A5350E" w:rsidRDefault="00DF7B5F" w:rsidP="004F269F">
            <w:pPr>
              <w:spacing w:after="160" w:line="259" w:lineRule="auto"/>
              <w:jc w:val="both"/>
            </w:pPr>
            <w:r w:rsidRPr="00A5350E">
              <w:t xml:space="preserve">Printed and unprinted bags </w:t>
            </w:r>
          </w:p>
        </w:tc>
        <w:tc>
          <w:tcPr>
            <w:tcW w:w="2265" w:type="dxa"/>
          </w:tcPr>
          <w:p w14:paraId="45620A9C" w14:textId="77777777"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r w:rsidRPr="00A5350E">
              <w:t xml:space="preserve">Printed and unprinted bags made of paper </w:t>
            </w:r>
            <w:r>
              <w:t>and grass paper.</w:t>
            </w:r>
          </w:p>
        </w:tc>
        <w:tc>
          <w:tcPr>
            <w:tcW w:w="2266" w:type="dxa"/>
          </w:tcPr>
          <w:p w14:paraId="5D3DDE4F" w14:textId="77777777" w:rsidR="00DF7B5F" w:rsidRPr="00A5350E"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Dry foods </w:t>
            </w:r>
          </w:p>
        </w:tc>
        <w:tc>
          <w:tcPr>
            <w:tcW w:w="2266" w:type="dxa"/>
          </w:tcPr>
          <w:p w14:paraId="29865C29" w14:textId="77777777" w:rsidR="00DF7B5F" w:rsidRPr="007F080A"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lang w:val="de-DE"/>
              </w:rPr>
            </w:pPr>
            <w:r w:rsidRPr="007F080A">
              <w:rPr>
                <w:sz w:val="24"/>
                <w:szCs w:val="24"/>
                <w:lang w:val="de-DE"/>
              </w:rPr>
              <w:t xml:space="preserve">Eko papir d.o.o., </w:t>
            </w:r>
          </w:p>
          <w:p w14:paraId="228A541B" w14:textId="77777777" w:rsidR="00DF7B5F" w:rsidRPr="00A5350E"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Stjepana Radića 150</w:t>
            </w:r>
            <w:r w:rsidRPr="00A5350E">
              <w:rPr>
                <w:sz w:val="24"/>
                <w:szCs w:val="24"/>
              </w:rPr>
              <w:t xml:space="preserve">, 48331, Gola, Croatia </w:t>
            </w:r>
          </w:p>
        </w:tc>
      </w:tr>
      <w:tr w:rsidR="00DF7B5F" w:rsidRPr="00A5350E" w14:paraId="6CDCDAE5" w14:textId="77777777" w:rsidTr="004F269F">
        <w:trPr>
          <w:trHeight w:val="1412"/>
        </w:trPr>
        <w:tc>
          <w:tcPr>
            <w:cnfStyle w:val="001000000000" w:firstRow="0" w:lastRow="0" w:firstColumn="1" w:lastColumn="0" w:oddVBand="0" w:evenVBand="0" w:oddHBand="0" w:evenHBand="0" w:firstRowFirstColumn="0" w:firstRowLastColumn="0" w:lastRowFirstColumn="0" w:lastRowLastColumn="0"/>
            <w:tcW w:w="2265" w:type="dxa"/>
          </w:tcPr>
          <w:p w14:paraId="5C823B80" w14:textId="77777777" w:rsidR="00DF7B5F" w:rsidRPr="00A5350E" w:rsidRDefault="00DF7B5F" w:rsidP="004F269F">
            <w:pPr>
              <w:spacing w:after="160" w:line="259" w:lineRule="auto"/>
            </w:pPr>
            <w:r w:rsidRPr="00A5350E">
              <w:t xml:space="preserve">Printed and unprinted </w:t>
            </w:r>
          </w:p>
          <w:p w14:paraId="0B31940A" w14:textId="77777777" w:rsidR="00DF7B5F" w:rsidRPr="00A5350E" w:rsidRDefault="00DF7B5F" w:rsidP="004F269F">
            <w:pPr>
              <w:spacing w:after="160" w:line="259" w:lineRule="auto"/>
            </w:pPr>
            <w:r w:rsidRPr="00A5350E">
              <w:t>bags</w:t>
            </w:r>
          </w:p>
        </w:tc>
        <w:tc>
          <w:tcPr>
            <w:tcW w:w="2265" w:type="dxa"/>
          </w:tcPr>
          <w:p w14:paraId="080904C0" w14:textId="05399241"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r w:rsidRPr="00A5350E">
              <w:t xml:space="preserve">Printed and unprinted bags made of </w:t>
            </w:r>
            <w:r w:rsidR="00D10DBC" w:rsidRPr="00A5350E">
              <w:t xml:space="preserve">paper </w:t>
            </w:r>
            <w:r w:rsidR="00D10DBC">
              <w:t>or</w:t>
            </w:r>
            <w:r>
              <w:t xml:space="preserve"> </w:t>
            </w:r>
            <w:r w:rsidRPr="00A5350E">
              <w:t xml:space="preserve">combined with </w:t>
            </w:r>
            <w:r>
              <w:t>materials</w:t>
            </w:r>
            <w:r w:rsidRPr="00A5350E">
              <w:t xml:space="preserve"> like: HDPE (high density polyethylene 6-18 microns), PPH (Polypropylene PPH 10060 7-18 micons)</w:t>
            </w:r>
            <w:r>
              <w:t xml:space="preserve">, </w:t>
            </w:r>
            <w:r w:rsidRPr="00A5350E">
              <w:t>OPP (oriented Polypropylene 20-25 microns)</w:t>
            </w:r>
            <w:r>
              <w:t>, PLA foil, pergamin / glassine.</w:t>
            </w:r>
          </w:p>
        </w:tc>
        <w:tc>
          <w:tcPr>
            <w:tcW w:w="2266" w:type="dxa"/>
          </w:tcPr>
          <w:p w14:paraId="5D07E74E" w14:textId="5000B2C5"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r w:rsidRPr="00A5350E">
              <w:t xml:space="preserve">Dry food and </w:t>
            </w:r>
            <w:r w:rsidR="00D10DBC" w:rsidRPr="00A5350E">
              <w:t>non-fatty</w:t>
            </w:r>
            <w:r w:rsidRPr="00A5350E">
              <w:t xml:space="preserve"> foods as well as moist and fatty foods provided that in latter case only the back surface is in direct contact with food. (BfR)</w:t>
            </w:r>
          </w:p>
          <w:p w14:paraId="134185F6" w14:textId="77777777" w:rsidR="00DF7B5F" w:rsidRPr="00A5350E"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2266" w:type="dxa"/>
          </w:tcPr>
          <w:p w14:paraId="53BCF40D" w14:textId="77777777" w:rsidR="00DF7B5F" w:rsidRPr="007F080A"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lang w:val="de-DE"/>
              </w:rPr>
            </w:pPr>
            <w:r w:rsidRPr="007F080A">
              <w:rPr>
                <w:sz w:val="24"/>
                <w:szCs w:val="24"/>
                <w:lang w:val="de-DE"/>
              </w:rPr>
              <w:t xml:space="preserve">Eko papir d.o.o., </w:t>
            </w:r>
          </w:p>
          <w:p w14:paraId="12EB6DB8" w14:textId="77777777" w:rsidR="00DF7B5F" w:rsidRPr="00A5350E"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Stjepana Radića 150</w:t>
            </w:r>
            <w:r w:rsidRPr="00A5350E">
              <w:rPr>
                <w:sz w:val="24"/>
                <w:szCs w:val="24"/>
              </w:rPr>
              <w:t>, 48331, Gola, Croatia</w:t>
            </w:r>
          </w:p>
        </w:tc>
      </w:tr>
      <w:tr w:rsidR="00DF7B5F" w:rsidRPr="00A5350E" w14:paraId="4C9655B6" w14:textId="77777777" w:rsidTr="004F269F">
        <w:trPr>
          <w:trHeight w:val="2218"/>
        </w:trPr>
        <w:tc>
          <w:tcPr>
            <w:cnfStyle w:val="001000000000" w:firstRow="0" w:lastRow="0" w:firstColumn="1" w:lastColumn="0" w:oddVBand="0" w:evenVBand="0" w:oddHBand="0" w:evenHBand="0" w:firstRowFirstColumn="0" w:firstRowLastColumn="0" w:lastRowFirstColumn="0" w:lastRowLastColumn="0"/>
            <w:tcW w:w="2265" w:type="dxa"/>
          </w:tcPr>
          <w:p w14:paraId="6FC68617" w14:textId="77777777" w:rsidR="00DF7B5F" w:rsidRPr="00A5350E" w:rsidRDefault="00DF7B5F" w:rsidP="004F269F">
            <w:pPr>
              <w:spacing w:after="160" w:line="259" w:lineRule="auto"/>
            </w:pPr>
            <w:r w:rsidRPr="00A5350E">
              <w:lastRenderedPageBreak/>
              <w:t xml:space="preserve">Printed and unprinted paper </w:t>
            </w:r>
          </w:p>
        </w:tc>
        <w:tc>
          <w:tcPr>
            <w:tcW w:w="2265" w:type="dxa"/>
          </w:tcPr>
          <w:p w14:paraId="2E1306C9" w14:textId="77777777"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r w:rsidRPr="00A5350E">
              <w:t xml:space="preserve">Printed and unprinted paper in reels and sheets </w:t>
            </w:r>
          </w:p>
        </w:tc>
        <w:tc>
          <w:tcPr>
            <w:tcW w:w="2266" w:type="dxa"/>
          </w:tcPr>
          <w:p w14:paraId="2AF80C30" w14:textId="77777777"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r w:rsidRPr="00A5350E">
              <w:t xml:space="preserve">Dry foods </w:t>
            </w:r>
          </w:p>
        </w:tc>
        <w:tc>
          <w:tcPr>
            <w:tcW w:w="2266" w:type="dxa"/>
          </w:tcPr>
          <w:p w14:paraId="08F845A3" w14:textId="77777777" w:rsidR="00DF7B5F" w:rsidRPr="007F080A"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lang w:val="de-DE"/>
              </w:rPr>
            </w:pPr>
            <w:r w:rsidRPr="007F080A">
              <w:rPr>
                <w:sz w:val="24"/>
                <w:szCs w:val="24"/>
                <w:lang w:val="de-DE"/>
              </w:rPr>
              <w:t xml:space="preserve">Eko papir d.o.o., </w:t>
            </w:r>
          </w:p>
          <w:p w14:paraId="37943A88" w14:textId="77777777" w:rsidR="00DF7B5F" w:rsidRPr="00A5350E"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Stjepana Radića 150</w:t>
            </w:r>
            <w:r w:rsidRPr="00A5350E">
              <w:rPr>
                <w:sz w:val="24"/>
                <w:szCs w:val="24"/>
              </w:rPr>
              <w:t>, 48331, Gola, Croatia</w:t>
            </w:r>
          </w:p>
        </w:tc>
      </w:tr>
      <w:tr w:rsidR="00DF7B5F" w:rsidRPr="00A5350E" w14:paraId="5FD29916" w14:textId="77777777" w:rsidTr="004F269F">
        <w:trPr>
          <w:trHeight w:val="1412"/>
        </w:trPr>
        <w:tc>
          <w:tcPr>
            <w:cnfStyle w:val="001000000000" w:firstRow="0" w:lastRow="0" w:firstColumn="1" w:lastColumn="0" w:oddVBand="0" w:evenVBand="0" w:oddHBand="0" w:evenHBand="0" w:firstRowFirstColumn="0" w:firstRowLastColumn="0" w:lastRowFirstColumn="0" w:lastRowLastColumn="0"/>
            <w:tcW w:w="2265" w:type="dxa"/>
          </w:tcPr>
          <w:p w14:paraId="3E630CF2" w14:textId="77777777" w:rsidR="00DF7B5F" w:rsidRPr="00A5350E" w:rsidRDefault="00DF7B5F" w:rsidP="004F269F">
            <w:pPr>
              <w:spacing w:after="160" w:line="259" w:lineRule="auto"/>
            </w:pPr>
            <w:r w:rsidRPr="00A5350E">
              <w:t>Printed and unprinted paper</w:t>
            </w:r>
          </w:p>
        </w:tc>
        <w:tc>
          <w:tcPr>
            <w:tcW w:w="2265" w:type="dxa"/>
          </w:tcPr>
          <w:p w14:paraId="78F473FB" w14:textId="024CBC38"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r w:rsidRPr="00A5350E">
              <w:t xml:space="preserve">Printed and unprinted bags made of </w:t>
            </w:r>
            <w:r w:rsidR="00D10DBC" w:rsidRPr="00A5350E">
              <w:t xml:space="preserve">paper </w:t>
            </w:r>
            <w:r w:rsidR="00D10DBC">
              <w:t>or</w:t>
            </w:r>
            <w:r>
              <w:t xml:space="preserve"> </w:t>
            </w:r>
            <w:r w:rsidRPr="00A5350E">
              <w:t xml:space="preserve">combined with </w:t>
            </w:r>
            <w:r>
              <w:t>materials</w:t>
            </w:r>
            <w:r w:rsidRPr="00A5350E">
              <w:t xml:space="preserve"> like: HDPE (high density polyethylene 6-18 microns), PPH (Polypropylene PPH 10060 7-18 micons)</w:t>
            </w:r>
            <w:r>
              <w:t xml:space="preserve">, </w:t>
            </w:r>
            <w:r w:rsidRPr="00A5350E">
              <w:t>OPP (oriented Polypropylene 20-25 microns)</w:t>
            </w:r>
            <w:r>
              <w:t xml:space="preserve">, PLA </w:t>
            </w:r>
            <w:r w:rsidR="00D10DBC">
              <w:t>foil, pergamin</w:t>
            </w:r>
            <w:r>
              <w:t xml:space="preserve"> / glassine.</w:t>
            </w:r>
          </w:p>
        </w:tc>
        <w:tc>
          <w:tcPr>
            <w:tcW w:w="2266" w:type="dxa"/>
          </w:tcPr>
          <w:p w14:paraId="55125CBE" w14:textId="1F289F5F"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r w:rsidRPr="00A5350E">
              <w:t xml:space="preserve">Dry food and </w:t>
            </w:r>
            <w:r w:rsidR="00D10DBC" w:rsidRPr="00A5350E">
              <w:t>non-fatty</w:t>
            </w:r>
            <w:r w:rsidRPr="00A5350E">
              <w:t xml:space="preserve"> foods as well as moist and fatty foods provided that in latter case only the back surface i</w:t>
            </w:r>
            <w:r>
              <w:t xml:space="preserve">s in direct contact with food. </w:t>
            </w:r>
          </w:p>
          <w:p w14:paraId="3C7CC8E7" w14:textId="77777777"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266" w:type="dxa"/>
          </w:tcPr>
          <w:p w14:paraId="1A3424A1" w14:textId="77777777" w:rsidR="00DF7B5F" w:rsidRPr="007F080A"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lang w:val="de-DE"/>
              </w:rPr>
            </w:pPr>
            <w:r w:rsidRPr="007F080A">
              <w:rPr>
                <w:sz w:val="24"/>
                <w:szCs w:val="24"/>
                <w:lang w:val="de-DE"/>
              </w:rPr>
              <w:t xml:space="preserve">Eko papir d.o.o., </w:t>
            </w:r>
          </w:p>
          <w:p w14:paraId="5D6DFEBE" w14:textId="77777777" w:rsidR="00DF7B5F" w:rsidRPr="00A5350E"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5350E">
              <w:rPr>
                <w:sz w:val="24"/>
                <w:szCs w:val="24"/>
              </w:rPr>
              <w:t xml:space="preserve">Stjepana </w:t>
            </w:r>
            <w:r>
              <w:rPr>
                <w:sz w:val="24"/>
                <w:szCs w:val="24"/>
              </w:rPr>
              <w:t>Radića 150</w:t>
            </w:r>
            <w:r w:rsidRPr="00A5350E">
              <w:rPr>
                <w:sz w:val="24"/>
                <w:szCs w:val="24"/>
              </w:rPr>
              <w:t>, 48331, Gola, Croatia</w:t>
            </w:r>
          </w:p>
        </w:tc>
      </w:tr>
      <w:tr w:rsidR="00DF7B5F" w:rsidRPr="00A5350E" w14:paraId="1BA6C65E" w14:textId="77777777" w:rsidTr="004F269F">
        <w:trPr>
          <w:trHeight w:val="1412"/>
        </w:trPr>
        <w:tc>
          <w:tcPr>
            <w:cnfStyle w:val="001000000000" w:firstRow="0" w:lastRow="0" w:firstColumn="1" w:lastColumn="0" w:oddVBand="0" w:evenVBand="0" w:oddHBand="0" w:evenHBand="0" w:firstRowFirstColumn="0" w:firstRowLastColumn="0" w:lastRowFirstColumn="0" w:lastRowLastColumn="0"/>
            <w:tcW w:w="2265" w:type="dxa"/>
          </w:tcPr>
          <w:p w14:paraId="2D47C792" w14:textId="77777777" w:rsidR="00DF7B5F" w:rsidRPr="00A5350E" w:rsidRDefault="00DF7B5F" w:rsidP="004F269F">
            <w:pPr>
              <w:spacing w:after="160" w:line="259" w:lineRule="auto"/>
            </w:pPr>
            <w:r w:rsidRPr="00A5350E">
              <w:t>Printed and unprinted paper and bags</w:t>
            </w:r>
          </w:p>
        </w:tc>
        <w:tc>
          <w:tcPr>
            <w:tcW w:w="2265" w:type="dxa"/>
          </w:tcPr>
          <w:p w14:paraId="35BFF911" w14:textId="77777777"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r w:rsidRPr="00A5350E">
              <w:t>Printed and unprinted bags and paper made of paper resistant to fat and moisture.</w:t>
            </w:r>
          </w:p>
        </w:tc>
        <w:tc>
          <w:tcPr>
            <w:tcW w:w="2266" w:type="dxa"/>
          </w:tcPr>
          <w:p w14:paraId="20C2D087" w14:textId="77777777" w:rsidR="00DF7B5F" w:rsidRPr="00A5350E" w:rsidRDefault="00DF7B5F" w:rsidP="004F269F">
            <w:pPr>
              <w:spacing w:after="160" w:line="259" w:lineRule="auto"/>
              <w:cnfStyle w:val="000000000000" w:firstRow="0" w:lastRow="0" w:firstColumn="0" w:lastColumn="0" w:oddVBand="0" w:evenVBand="0" w:oddHBand="0" w:evenHBand="0" w:firstRowFirstColumn="0" w:firstRowLastColumn="0" w:lastRowFirstColumn="0" w:lastRowLastColumn="0"/>
            </w:pPr>
            <w:r w:rsidRPr="00A5350E">
              <w:t xml:space="preserve">Dry food and greasy and moist food. </w:t>
            </w:r>
          </w:p>
        </w:tc>
        <w:tc>
          <w:tcPr>
            <w:tcW w:w="2266" w:type="dxa"/>
          </w:tcPr>
          <w:p w14:paraId="6CC68C3A" w14:textId="77777777" w:rsidR="00DF7B5F" w:rsidRPr="007F080A"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lang w:val="de-DE"/>
              </w:rPr>
            </w:pPr>
            <w:r w:rsidRPr="007F080A">
              <w:rPr>
                <w:sz w:val="24"/>
                <w:szCs w:val="24"/>
                <w:lang w:val="de-DE"/>
              </w:rPr>
              <w:t xml:space="preserve">Eko papir d.o.o., </w:t>
            </w:r>
          </w:p>
          <w:p w14:paraId="17FE8E53" w14:textId="77777777" w:rsidR="00DF7B5F" w:rsidRPr="00A5350E" w:rsidRDefault="00DF7B5F" w:rsidP="004F269F">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Stjepana Radića 150</w:t>
            </w:r>
            <w:r w:rsidRPr="00A5350E">
              <w:rPr>
                <w:sz w:val="24"/>
                <w:szCs w:val="24"/>
              </w:rPr>
              <w:t>, 48331, Gola, Croatia</w:t>
            </w:r>
          </w:p>
        </w:tc>
      </w:tr>
    </w:tbl>
    <w:p w14:paraId="5C356341" w14:textId="77777777" w:rsidR="00DF7B5F" w:rsidRDefault="00DF7B5F" w:rsidP="00DF7B5F"/>
    <w:p w14:paraId="123054C9" w14:textId="77777777" w:rsidR="00DF7B5F" w:rsidRDefault="00DF7B5F" w:rsidP="00DF7B5F"/>
    <w:p w14:paraId="772C96B5" w14:textId="0F063F55" w:rsidR="00DF7B5F" w:rsidRPr="00F30283" w:rsidRDefault="00DF7B5F" w:rsidP="00DF7B5F">
      <w:pPr>
        <w:jc w:val="both"/>
      </w:pPr>
      <w:r w:rsidRPr="00F30283">
        <w:t xml:space="preserve">In our products, listed above, we use following foils: </w:t>
      </w:r>
      <w:r w:rsidRPr="00F30283">
        <w:rPr>
          <w:b/>
        </w:rPr>
        <w:t>HDPE</w:t>
      </w:r>
      <w:r w:rsidRPr="00F30283">
        <w:t xml:space="preserve"> (high density polyethylene 6-20 microns), </w:t>
      </w:r>
      <w:r w:rsidRPr="00F30283">
        <w:rPr>
          <w:b/>
        </w:rPr>
        <w:t>BOPP</w:t>
      </w:r>
      <w:r w:rsidRPr="00F30283">
        <w:t xml:space="preserve"> (Biooriented Polypropylene 15-30 microns) and </w:t>
      </w:r>
      <w:r w:rsidRPr="00F30283">
        <w:rPr>
          <w:b/>
        </w:rPr>
        <w:t>PLA</w:t>
      </w:r>
      <w:r w:rsidRPr="00F30283">
        <w:t xml:space="preserve"> (polylactide acid 15-30 microns)</w:t>
      </w:r>
      <w:r w:rsidR="00215656">
        <w:t xml:space="preserve"> we:</w:t>
      </w:r>
    </w:p>
    <w:p w14:paraId="766ECC3B" w14:textId="65DB6315" w:rsidR="00353EB5" w:rsidRDefault="00353EB5" w:rsidP="00353EB5">
      <w:pPr>
        <w:jc w:val="both"/>
      </w:pPr>
      <w:r>
        <w:t xml:space="preserve">• Respect the standards for materials and objects intended to come into </w:t>
      </w:r>
      <w:r w:rsidR="00D10DBC">
        <w:t xml:space="preserve">the </w:t>
      </w:r>
      <w:r>
        <w:t>contact with food -</w:t>
      </w:r>
    </w:p>
    <w:p w14:paraId="139DF13E" w14:textId="77777777" w:rsidR="00353EB5" w:rsidRDefault="00353EB5" w:rsidP="00353EB5">
      <w:pPr>
        <w:jc w:val="both"/>
      </w:pPr>
      <w:r>
        <w:t>Regulation (EC) No. 1935/2004.</w:t>
      </w:r>
    </w:p>
    <w:p w14:paraId="2D3C8A1A" w14:textId="77777777" w:rsidR="00353EB5" w:rsidRDefault="00353EB5" w:rsidP="00353EB5">
      <w:pPr>
        <w:jc w:val="both"/>
      </w:pPr>
      <w:r>
        <w:t>• Respect the regulations for materials and objects for contact with dry, moist and fatty food</w:t>
      </w:r>
    </w:p>
    <w:p w14:paraId="068AD23A" w14:textId="77777777" w:rsidR="00353EB5" w:rsidRDefault="00353EB5" w:rsidP="00353EB5">
      <w:pPr>
        <w:jc w:val="both"/>
      </w:pPr>
      <w:r>
        <w:t>products, with reference to Regulation (EU) n. 2020/1245 amending and correcting Regulation</w:t>
      </w:r>
    </w:p>
    <w:p w14:paraId="16AFB930" w14:textId="77777777" w:rsidR="00353EB5" w:rsidRDefault="00353EB5" w:rsidP="00353EB5">
      <w:pPr>
        <w:jc w:val="both"/>
      </w:pPr>
      <w:r>
        <w:t>(EU) n. 10/2011.</w:t>
      </w:r>
    </w:p>
    <w:p w14:paraId="6E60302A" w14:textId="77777777" w:rsidR="00353EB5" w:rsidRDefault="00353EB5" w:rsidP="00353EB5">
      <w:pPr>
        <w:jc w:val="both"/>
      </w:pPr>
      <w:r>
        <w:t>• The specific migration limits along with the other specific restrictions to which the monomers</w:t>
      </w:r>
    </w:p>
    <w:p w14:paraId="7B24B144" w14:textId="77777777" w:rsidR="00353EB5" w:rsidRDefault="00353EB5" w:rsidP="00353EB5">
      <w:pPr>
        <w:jc w:val="both"/>
      </w:pPr>
      <w:r>
        <w:t>and/or the additives present in the material can be subject, are respected according to the</w:t>
      </w:r>
    </w:p>
    <w:p w14:paraId="49B18134" w14:textId="77777777" w:rsidR="00353EB5" w:rsidRDefault="00353EB5" w:rsidP="00353EB5">
      <w:pPr>
        <w:jc w:val="both"/>
      </w:pPr>
      <w:r>
        <w:t>conditions for use mentioned below. This affirmation is supported by analytical tests or based</w:t>
      </w:r>
    </w:p>
    <w:p w14:paraId="39B67957" w14:textId="77777777" w:rsidR="00353EB5" w:rsidRDefault="00353EB5" w:rsidP="00353EB5">
      <w:pPr>
        <w:jc w:val="both"/>
      </w:pPr>
      <w:r>
        <w:t>on calculations on the migration of substances performed in compliance with the reference</w:t>
      </w:r>
    </w:p>
    <w:p w14:paraId="2859C317" w14:textId="77777777" w:rsidR="00353EB5" w:rsidRDefault="00353EB5" w:rsidP="00353EB5">
      <w:pPr>
        <w:jc w:val="both"/>
      </w:pPr>
      <w:r>
        <w:t>directives where applicable.</w:t>
      </w:r>
    </w:p>
    <w:p w14:paraId="169E23F2" w14:textId="368AD9C8" w:rsidR="00353EB5" w:rsidRDefault="00353EB5" w:rsidP="00353EB5">
      <w:pPr>
        <w:jc w:val="both"/>
      </w:pPr>
      <w:r>
        <w:t xml:space="preserve">The calculations were performed assuming that 1 kg of food comes into </w:t>
      </w:r>
      <w:r w:rsidR="00D10DBC">
        <w:t xml:space="preserve">the </w:t>
      </w:r>
      <w:r>
        <w:t>contact with 6 dm2 of</w:t>
      </w:r>
    </w:p>
    <w:p w14:paraId="4BD5C58B" w14:textId="77777777" w:rsidR="00353EB5" w:rsidRDefault="00353EB5" w:rsidP="00353EB5">
      <w:pPr>
        <w:jc w:val="both"/>
      </w:pPr>
      <w:r>
        <w:t>product</w:t>
      </w:r>
    </w:p>
    <w:p w14:paraId="63083C09" w14:textId="77777777" w:rsidR="00353EB5" w:rsidRDefault="00353EB5" w:rsidP="00353EB5">
      <w:pPr>
        <w:jc w:val="both"/>
      </w:pPr>
      <w:r>
        <w:lastRenderedPageBreak/>
        <w:t>• Contain substances intentionally added that are regulated with a specific migration limit.</w:t>
      </w:r>
    </w:p>
    <w:p w14:paraId="4DF41D9B" w14:textId="77777777" w:rsidR="00353EB5" w:rsidRDefault="00353EB5" w:rsidP="00353EB5">
      <w:pPr>
        <w:jc w:val="both"/>
      </w:pPr>
      <w:r>
        <w:t>• Do not contain substances regulated by Regulation (EC) No. 1333/2008 and 1334/2008 as</w:t>
      </w:r>
    </w:p>
    <w:p w14:paraId="29209236" w14:textId="77777777" w:rsidR="00353EB5" w:rsidRDefault="00353EB5" w:rsidP="00353EB5">
      <w:pPr>
        <w:jc w:val="both"/>
      </w:pPr>
      <w:r>
        <w:t>updated (“DUAL USE” substances).</w:t>
      </w:r>
    </w:p>
    <w:p w14:paraId="6195DF5B" w14:textId="77777777" w:rsidR="00353EB5" w:rsidRDefault="00353EB5" w:rsidP="00353EB5">
      <w:pPr>
        <w:jc w:val="both"/>
      </w:pPr>
      <w:r>
        <w:t>• Do not contain substances of very high concern (SVHC) in quantities greater than 0.1% by</w:t>
      </w:r>
    </w:p>
    <w:p w14:paraId="4DA699AC" w14:textId="77777777" w:rsidR="00353EB5" w:rsidRDefault="00353EB5" w:rsidP="00353EB5">
      <w:pPr>
        <w:jc w:val="both"/>
      </w:pPr>
      <w:r>
        <w:t>weight/weight.</w:t>
      </w:r>
    </w:p>
    <w:p w14:paraId="0B623FBE" w14:textId="77777777" w:rsidR="00353EB5" w:rsidRDefault="00353EB5" w:rsidP="00353EB5">
      <w:pPr>
        <w:jc w:val="both"/>
      </w:pPr>
      <w:r>
        <w:t>• Is compliant with FDA, CFR Title 21 § 176.170 - FDA, CFR Title 21 § 176.180 - Title CFR 21 §</w:t>
      </w:r>
    </w:p>
    <w:p w14:paraId="533410D9" w14:textId="77777777" w:rsidR="00353EB5" w:rsidRDefault="00353EB5" w:rsidP="00353EB5">
      <w:pPr>
        <w:jc w:val="both"/>
      </w:pPr>
      <w:r>
        <w:t>177.1520.</w:t>
      </w:r>
    </w:p>
    <w:p w14:paraId="0F7730D9" w14:textId="77777777" w:rsidR="00353EB5" w:rsidRDefault="00353EB5" w:rsidP="00353EB5">
      <w:pPr>
        <w:jc w:val="both"/>
      </w:pPr>
      <w:r>
        <w:t>• The paper is compliant with Italian Ministerial Decree 21/03/73 (Title II Chapter IV Art. 27</w:t>
      </w:r>
    </w:p>
    <w:p w14:paraId="6A99AA67" w14:textId="397F30DE" w:rsidR="00353EB5" w:rsidRDefault="00353EB5" w:rsidP="00353EB5">
      <w:pPr>
        <w:jc w:val="both"/>
      </w:pPr>
      <w:r>
        <w:t xml:space="preserve">Para. a) as modified, the paper used can come into </w:t>
      </w:r>
      <w:r w:rsidR="00D10DBC">
        <w:t xml:space="preserve">the </w:t>
      </w:r>
      <w:r>
        <w:t>contact with food products for which</w:t>
      </w:r>
    </w:p>
    <w:p w14:paraId="242B2CC1" w14:textId="77777777" w:rsidR="00353EB5" w:rsidRDefault="00353EB5" w:rsidP="00353EB5">
      <w:pPr>
        <w:jc w:val="both"/>
      </w:pPr>
      <w:r>
        <w:t>migration testing is required.</w:t>
      </w:r>
    </w:p>
    <w:p w14:paraId="27609AD7" w14:textId="77777777" w:rsidR="00353EB5" w:rsidRDefault="00353EB5" w:rsidP="00353EB5">
      <w:pPr>
        <w:jc w:val="both"/>
      </w:pPr>
      <w:r>
        <w:t>• Based on analyses performed by external laboratories, we can declare that our products do</w:t>
      </w:r>
    </w:p>
    <w:p w14:paraId="402102D2" w14:textId="77777777" w:rsidR="00353EB5" w:rsidRDefault="00353EB5" w:rsidP="00353EB5">
      <w:pPr>
        <w:jc w:val="both"/>
      </w:pPr>
      <w:r>
        <w:t>not contain or use bisphenols or phthalates.</w:t>
      </w:r>
    </w:p>
    <w:p w14:paraId="4D760E86" w14:textId="77777777" w:rsidR="00353EB5" w:rsidRDefault="00353EB5" w:rsidP="00353EB5">
      <w:pPr>
        <w:jc w:val="both"/>
      </w:pPr>
      <w:r>
        <w:t>• Have been manufactured in compliance with the relevant requirements in Regulation No.</w:t>
      </w:r>
    </w:p>
    <w:p w14:paraId="45181B86" w14:textId="77777777" w:rsidR="00353EB5" w:rsidRDefault="00353EB5" w:rsidP="00353EB5">
      <w:pPr>
        <w:jc w:val="both"/>
      </w:pPr>
      <w:r>
        <w:t>2023/2006 on good working practices for materials and items intended for contact with food.</w:t>
      </w:r>
    </w:p>
    <w:p w14:paraId="48E4AC49" w14:textId="77777777" w:rsidR="00353EB5" w:rsidRDefault="00353EB5" w:rsidP="00353EB5">
      <w:pPr>
        <w:jc w:val="both"/>
      </w:pPr>
      <w:r>
        <w:t>• are compliant with European Parliament Directive 94/62/CE regarding packaging and</w:t>
      </w:r>
    </w:p>
    <w:p w14:paraId="075E849E" w14:textId="46754B97" w:rsidR="00DF7B5F" w:rsidRDefault="00353EB5" w:rsidP="00353EB5">
      <w:pPr>
        <w:jc w:val="both"/>
      </w:pPr>
      <w:r>
        <w:t>packaging waste</w:t>
      </w:r>
      <w:r w:rsidR="00D10DBC">
        <w:t xml:space="preserve"> </w:t>
      </w:r>
      <w:r w:rsidR="00DF7B5F" w:rsidRPr="00A5350E">
        <w:t>Products are manufactured in compliance with good manufacturing practice, as we keep traceability of the materials used in the prod</w:t>
      </w:r>
      <w:r w:rsidR="00DF7B5F">
        <w:t xml:space="preserve">uction process for all products </w:t>
      </w:r>
      <w:r w:rsidR="00DF7B5F" w:rsidRPr="00A5350E">
        <w:t xml:space="preserve">using our ISO 9001 system and we have appropriate certificates and the declarations from our suppliers and on this </w:t>
      </w:r>
      <w:r w:rsidR="00D10DBC" w:rsidRPr="00A5350E">
        <w:t>basis,</w:t>
      </w:r>
      <w:r w:rsidR="00DF7B5F" w:rsidRPr="00A5350E">
        <w:t xml:space="preserve"> we can issue the declaration of conformity. </w:t>
      </w:r>
    </w:p>
    <w:p w14:paraId="50125F70" w14:textId="77777777" w:rsidR="00DF7B5F" w:rsidRPr="00A5350E" w:rsidRDefault="00DF7B5F" w:rsidP="00DF7B5F">
      <w:pPr>
        <w:jc w:val="both"/>
      </w:pPr>
      <w:r>
        <w:t>Al the</w:t>
      </w:r>
      <w:r w:rsidRPr="00A5350E">
        <w:t xml:space="preserve"> inks and varnishes used for the printing of paper sacks are water based. </w:t>
      </w:r>
      <w:r>
        <w:t xml:space="preserve">Our </w:t>
      </w:r>
      <w:r w:rsidRPr="00A5350E">
        <w:t>ink supplier has stated that their products are formulated and manufactured in accordance with the “EuPIA Guideline on Printing Inks applied to the non-food contact surface of food packaging materials and article</w:t>
      </w:r>
      <w:r>
        <w:t>”</w:t>
      </w:r>
    </w:p>
    <w:p w14:paraId="6BE434CF" w14:textId="121B68E2" w:rsidR="00DF7B5F" w:rsidRPr="00A5350E" w:rsidRDefault="00DF7B5F" w:rsidP="00DF7B5F">
      <w:pPr>
        <w:jc w:val="both"/>
      </w:pPr>
      <w:r w:rsidRPr="00A5350E">
        <w:t xml:space="preserve">This declaration is valid on the date of delivery of the material or article. It </w:t>
      </w:r>
      <w:r>
        <w:t xml:space="preserve">is </w:t>
      </w:r>
      <w:r w:rsidRPr="00A5350E">
        <w:t xml:space="preserve">renewed whenever compliance </w:t>
      </w:r>
      <w:r w:rsidR="00D10DBC" w:rsidRPr="00A5350E">
        <w:t>with the above</w:t>
      </w:r>
      <w:r w:rsidRPr="00A5350E">
        <w:t xml:space="preserve"> is no longer ensured (change of material, change of the type of food delivered or change in regulations before delivery of the material or article). </w:t>
      </w:r>
    </w:p>
    <w:p w14:paraId="2CCAE355" w14:textId="1CDCCB79" w:rsidR="00DF7B5F" w:rsidRPr="00A5350E" w:rsidRDefault="00DF7B5F" w:rsidP="00DF7B5F">
      <w:pPr>
        <w:jc w:val="both"/>
      </w:pPr>
      <w:r w:rsidRPr="00A5350E">
        <w:t xml:space="preserve">The declarant has kept </w:t>
      </w:r>
      <w:r w:rsidR="00D10DBC" w:rsidRPr="00A5350E">
        <w:t>a record</w:t>
      </w:r>
      <w:r w:rsidRPr="00A5350E">
        <w:t xml:space="preserve"> </w:t>
      </w:r>
      <w:r w:rsidR="00D10DBC" w:rsidRPr="00A5350E">
        <w:t>of all appropriate documentation</w:t>
      </w:r>
      <w:r w:rsidRPr="00A5350E">
        <w:t xml:space="preserve">  in  support  of  the  said  compliance,  which  shall  be  made  available  at  any  moment  that  the  competent  authorities  request it.  </w:t>
      </w:r>
    </w:p>
    <w:p w14:paraId="7E8010B6" w14:textId="77777777" w:rsidR="00DF7B5F" w:rsidRPr="00A5350E" w:rsidRDefault="00DF7B5F" w:rsidP="00DF7B5F">
      <w:pPr>
        <w:jc w:val="both"/>
      </w:pPr>
      <w:r w:rsidRPr="00A5350E">
        <w:t>DISCLAIMER</w:t>
      </w:r>
    </w:p>
    <w:p w14:paraId="120E1858" w14:textId="0B3E56E8" w:rsidR="00DF7B5F" w:rsidRPr="00A5350E" w:rsidRDefault="00DF7B5F" w:rsidP="00DF7B5F">
      <w:pPr>
        <w:jc w:val="both"/>
      </w:pPr>
      <w:r>
        <w:t>Products listed</w:t>
      </w:r>
      <w:r w:rsidRPr="00A5350E">
        <w:t xml:space="preserve">, except all </w:t>
      </w:r>
      <w:r w:rsidR="00D10DBC" w:rsidRPr="00A5350E">
        <w:t>types</w:t>
      </w:r>
      <w:r w:rsidRPr="00A5350E">
        <w:t xml:space="preserve"> of printed and unprinted paper combined with plastic foil or which combine plastic foil</w:t>
      </w:r>
      <w:r>
        <w:t xml:space="preserve"> and made from greaseproof paper</w:t>
      </w:r>
      <w:r w:rsidRPr="00A5350E">
        <w:t xml:space="preserve">, are not recommended to be used for greasy and wet foodstuffs. </w:t>
      </w:r>
      <w:r>
        <w:t xml:space="preserve">Products </w:t>
      </w:r>
      <w:r w:rsidRPr="00A5350E">
        <w:t xml:space="preserve">are not recommended to be used in microwave </w:t>
      </w:r>
      <w:r w:rsidR="00D10DBC" w:rsidRPr="00A5350E">
        <w:t>or</w:t>
      </w:r>
      <w:r w:rsidRPr="00A5350E">
        <w:t xml:space="preserve"> freezer. Products made of paper and combined with Polyethilene HDPE and Polypropylene PPH on complete inner side can be used for wrapping of Foodstuff which a</w:t>
      </w:r>
      <w:r w:rsidR="00D10DBC">
        <w:t>r</w:t>
      </w:r>
      <w:r w:rsidRPr="00A5350E">
        <w:t>e heated up to 70 degrees for maximum amount of two hours. Products combined with plastic materials as listed above are not recommended to be used for food for infants. Products in all groups should be stored in normal condi</w:t>
      </w:r>
      <w:r>
        <w:t xml:space="preserve">tions. (dry and indoor spaces) </w:t>
      </w:r>
    </w:p>
    <w:p w14:paraId="68DA1BB8" w14:textId="0FEE720A" w:rsidR="00555EA2" w:rsidRPr="00D10DBC" w:rsidRDefault="00DF7B5F" w:rsidP="00D10DBC">
      <w:r w:rsidRPr="00A5350E">
        <w:t>The addressee of this Declaration of Compliance acknowledges that the copyright, patents, trade secrets, rights of ownership and use in respect of the information given in this Declaration of Compliance belong to Eko papir d.o.o. Any copying, distributing, sending, transmission or publication of information provided in this document is prohibited unless Eko papir d.o.</w:t>
      </w:r>
      <w:r>
        <w:t>o. gives his written.</w:t>
      </w:r>
    </w:p>
    <w:p w14:paraId="01CFE8C2" w14:textId="77777777" w:rsidR="0070179F" w:rsidRDefault="0070179F" w:rsidP="00D10053">
      <w:pPr>
        <w:jc w:val="both"/>
        <w:rPr>
          <w:sz w:val="24"/>
          <w:szCs w:val="24"/>
        </w:rPr>
      </w:pPr>
    </w:p>
    <w:p w14:paraId="5B787453" w14:textId="77777777" w:rsidR="000F6676" w:rsidRPr="000F6676" w:rsidRDefault="000F6676" w:rsidP="000F6676">
      <w:pPr>
        <w:jc w:val="both"/>
        <w:rPr>
          <w:sz w:val="24"/>
          <w:szCs w:val="24"/>
        </w:rPr>
      </w:pPr>
    </w:p>
    <w:p w14:paraId="22A58FB7" w14:textId="77777777" w:rsidR="0070179F" w:rsidRPr="00E579C5" w:rsidRDefault="0070179F" w:rsidP="0070179F">
      <w:pPr>
        <w:rPr>
          <w:lang w:val="de-DE"/>
        </w:rPr>
      </w:pPr>
      <w:r w:rsidRPr="00E579C5">
        <w:rPr>
          <w:lang w:val="de-DE"/>
        </w:rPr>
        <w:t>Eko papir d.o.o.</w:t>
      </w:r>
    </w:p>
    <w:p w14:paraId="44871940" w14:textId="77777777" w:rsidR="0070179F" w:rsidRDefault="0070179F" w:rsidP="0070179F">
      <w:r>
        <w:t>Responsible person: Krešimir Matošić</w:t>
      </w:r>
    </w:p>
    <w:p w14:paraId="0DE087D1" w14:textId="77777777" w:rsidR="0070179F" w:rsidRDefault="0070179F" w:rsidP="0070179F">
      <w:r>
        <w:rPr>
          <w:noProof/>
        </w:rPr>
        <w:drawing>
          <wp:inline distT="0" distB="0" distL="0" distR="0" wp14:anchorId="6499536A" wp14:editId="692206B6">
            <wp:extent cx="1409700" cy="1005840"/>
            <wp:effectExtent l="0" t="0" r="0" b="0"/>
            <wp:docPr id="251967743" name="Slika 251967743" descr="Slika na kojoj se prikazuje rukopis, crno, crno-bijelo, kaligrafi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67743" name="Slika 251967743" descr="Slika na kojoj se prikazuje rukopis, crno, crno-bijelo, kaligrafija&#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005840"/>
                    </a:xfrm>
                    <a:prstGeom prst="rect">
                      <a:avLst/>
                    </a:prstGeom>
                    <a:noFill/>
                    <a:ln>
                      <a:noFill/>
                    </a:ln>
                  </pic:spPr>
                </pic:pic>
              </a:graphicData>
            </a:graphic>
          </wp:inline>
        </w:drawing>
      </w:r>
    </w:p>
    <w:p w14:paraId="79C70F0D" w14:textId="524FCF0A" w:rsidR="0070179F" w:rsidRDefault="0070179F" w:rsidP="0070179F">
      <w:r>
        <w:t xml:space="preserve">Date of issue: </w:t>
      </w:r>
      <w:r w:rsidR="00353EB5">
        <w:t>0</w:t>
      </w:r>
      <w:r w:rsidR="00E579C5">
        <w:t>1.</w:t>
      </w:r>
      <w:r>
        <w:t>0</w:t>
      </w:r>
      <w:r w:rsidR="00353EB5">
        <w:t>7</w:t>
      </w:r>
      <w:r>
        <w:t>.202</w:t>
      </w:r>
      <w:r w:rsidR="00353EB5">
        <w:t>4</w:t>
      </w:r>
      <w:r>
        <w:t>.</w:t>
      </w:r>
    </w:p>
    <w:p w14:paraId="4F1B08DF" w14:textId="77777777" w:rsidR="00FB1F2A" w:rsidRPr="00F36A7A" w:rsidRDefault="000F6676" w:rsidP="00FB1F2A">
      <w:pPr>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4AAB426" wp14:editId="33CDECF3">
                <wp:simplePos x="0" y="0"/>
                <wp:positionH relativeFrom="column">
                  <wp:posOffset>-23496</wp:posOffset>
                </wp:positionH>
                <wp:positionV relativeFrom="paragraph">
                  <wp:posOffset>173355</wp:posOffset>
                </wp:positionV>
                <wp:extent cx="3686175" cy="0"/>
                <wp:effectExtent l="0" t="0" r="0" b="0"/>
                <wp:wrapNone/>
                <wp:docPr id="4" name="Raven povezovalnik 4"/>
                <wp:cNvGraphicFramePr/>
                <a:graphic xmlns:a="http://schemas.openxmlformats.org/drawingml/2006/main">
                  <a:graphicData uri="http://schemas.microsoft.com/office/word/2010/wordprocessingShape">
                    <wps:wsp>
                      <wps:cNvCnPr/>
                      <wps:spPr>
                        <a:xfrm>
                          <a:off x="0" y="0"/>
                          <a:ext cx="3686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6EAEC4" id="Raven povezovalnik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3.65pt" to="288.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uWtwEAALcDAAAOAAAAZHJzL2Uyb0RvYy54bWysU8Fu1DAQvSPxD5bvbJJSlirabA+t4IJg&#10;VcoHuM54Y9X2WLZJsnw9Y+9uigBVFeLieOz33swbTzbXszVshBA1uo43q5ozcBJ77fYd/3b/4c0V&#10;ZzEJ1wuDDjp+gMivt69fbSbfwgUOaHoIjERcbCff8SEl31ZVlANYEVfowdGlwmBFojDsqz6IidSt&#10;qS7qel1NGHofUEKMdHp7vOTboq8UyPRFqQiJmY5TbamsoawPea22G9Hug/CDlqcyxD9UYYV2lHSR&#10;uhVJsO9B/yFltQwYUaWVRFuhUlpC8UBumvo3N18H4aF4oeZEv7Qp/j9Z+XncBab7jl9y5oSlJ7oT&#10;IzjmcYQfOArj9CO7zH2afGwJfuN24RRFvwvZ9KyCzV+yw+bS28PSW5gTk3T4dn21bt6/40ye76on&#10;og8xfQS0LG86brTLtkUrxk8xUTKCniEU5EKOqcsuHQxksHF3oMgKJWsKuwwR3JjAyEbH+8cm2yCt&#10;gswUpY1ZSPXzpBM206AM1kuJC7pkRJcWotUOw9+ypvlcqjriz66PXrPtB+wP5SFKO2g6irPTJOfx&#10;+zUu9Kf/bfsTAAD//wMAUEsDBBQABgAIAAAAIQD3BJ/43QAAAAgBAAAPAAAAZHJzL2Rvd25yZXYu&#10;eG1sTI/BTsMwEETvSPyDtUjcWodUJCiNU1WVEOKCaAp3N946KbEd2U4a/p5FHMpxZ0azb8rNbHo2&#10;oQ+dswIelgkwtI1TndUCPg7PiydgIUqrZO8sCvjGAJvq9qaUhXIXu8epjppRiQ2FFNDGOBSch6ZF&#10;I8PSDWjJOzlvZKTTa668vFC56XmaJBk3srP0oZUD7lpsvurRCOhf/fSpd3obxpd9Vp/fT+nbYRLi&#10;/m7eroFFnOM1DL/4hA4VMR3daFVgvYDFKqekgDRfASP/Mc9oyvFP4FXJ/w+ofgAAAP//AwBQSwEC&#10;LQAUAAYACAAAACEAtoM4kv4AAADhAQAAEwAAAAAAAAAAAAAAAAAAAAAAW0NvbnRlbnRfVHlwZXNd&#10;LnhtbFBLAQItABQABgAIAAAAIQA4/SH/1gAAAJQBAAALAAAAAAAAAAAAAAAAAC8BAABfcmVscy8u&#10;cmVsc1BLAQItABQABgAIAAAAIQANvyuWtwEAALcDAAAOAAAAAAAAAAAAAAAAAC4CAABkcnMvZTJv&#10;RG9jLnhtbFBLAQItABQABgAIAAAAIQD3BJ/43QAAAAgBAAAPAAAAAAAAAAAAAAAAABEEAABkcnMv&#10;ZG93bnJldi54bWxQSwUGAAAAAAQABADzAAAAGwUAAAAA&#10;" strokecolor="black [3200]" strokeweight=".5pt">
                <v:stroke joinstyle="miter"/>
              </v:line>
            </w:pict>
          </mc:Fallback>
        </mc:AlternateContent>
      </w:r>
    </w:p>
    <w:sectPr w:rsidR="00FB1F2A" w:rsidRPr="00F36A7A" w:rsidSect="00384E45">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6DF4A" w14:textId="77777777" w:rsidR="0004212F" w:rsidRDefault="0004212F" w:rsidP="00C17EA1">
      <w:pPr>
        <w:spacing w:after="0" w:line="240" w:lineRule="auto"/>
      </w:pPr>
      <w:r>
        <w:separator/>
      </w:r>
    </w:p>
  </w:endnote>
  <w:endnote w:type="continuationSeparator" w:id="0">
    <w:p w14:paraId="5D2BEDDE" w14:textId="77777777" w:rsidR="0004212F" w:rsidRDefault="0004212F" w:rsidP="00C1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FDA27" w14:textId="77777777" w:rsidR="0004212F" w:rsidRDefault="0004212F" w:rsidP="00C17EA1">
      <w:pPr>
        <w:spacing w:after="0" w:line="240" w:lineRule="auto"/>
      </w:pPr>
      <w:r>
        <w:separator/>
      </w:r>
    </w:p>
  </w:footnote>
  <w:footnote w:type="continuationSeparator" w:id="0">
    <w:p w14:paraId="252B7402" w14:textId="77777777" w:rsidR="0004212F" w:rsidRDefault="0004212F" w:rsidP="00C17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64C13"/>
    <w:multiLevelType w:val="hybridMultilevel"/>
    <w:tmpl w:val="80AA88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125A57"/>
    <w:multiLevelType w:val="hybridMultilevel"/>
    <w:tmpl w:val="D6D08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34178D"/>
    <w:multiLevelType w:val="hybridMultilevel"/>
    <w:tmpl w:val="4CC21A30"/>
    <w:lvl w:ilvl="0" w:tplc="1592EF9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01C26EF"/>
    <w:multiLevelType w:val="hybridMultilevel"/>
    <w:tmpl w:val="598E3198"/>
    <w:lvl w:ilvl="0" w:tplc="E07A68DC">
      <w:numFmt w:val="bullet"/>
      <w:lvlText w:val="-"/>
      <w:lvlJc w:val="left"/>
      <w:pPr>
        <w:ind w:left="1800" w:hanging="360"/>
      </w:pPr>
      <w:rPr>
        <w:rFonts w:ascii="Calibri" w:eastAsiaTheme="minorHAnsi" w:hAnsi="Calibri" w:cstheme="minorBid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78426052"/>
    <w:multiLevelType w:val="hybridMultilevel"/>
    <w:tmpl w:val="80EC612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7D5A277B"/>
    <w:multiLevelType w:val="hybridMultilevel"/>
    <w:tmpl w:val="CA26BA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85304128">
    <w:abstractNumId w:val="5"/>
  </w:num>
  <w:num w:numId="2" w16cid:durableId="1703549133">
    <w:abstractNumId w:val="0"/>
  </w:num>
  <w:num w:numId="3" w16cid:durableId="453862836">
    <w:abstractNumId w:val="2"/>
  </w:num>
  <w:num w:numId="4" w16cid:durableId="900867208">
    <w:abstractNumId w:val="4"/>
  </w:num>
  <w:num w:numId="5" w16cid:durableId="1988900900">
    <w:abstractNumId w:val="3"/>
  </w:num>
  <w:num w:numId="6" w16cid:durableId="39743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AA"/>
    <w:rsid w:val="0004212F"/>
    <w:rsid w:val="00081B6A"/>
    <w:rsid w:val="000F6676"/>
    <w:rsid w:val="001078E2"/>
    <w:rsid w:val="001236ED"/>
    <w:rsid w:val="0013713F"/>
    <w:rsid w:val="0013749C"/>
    <w:rsid w:val="001443FC"/>
    <w:rsid w:val="0017610F"/>
    <w:rsid w:val="001941BB"/>
    <w:rsid w:val="00215656"/>
    <w:rsid w:val="00232B34"/>
    <w:rsid w:val="00266BBF"/>
    <w:rsid w:val="002C00C9"/>
    <w:rsid w:val="003067C4"/>
    <w:rsid w:val="0032511F"/>
    <w:rsid w:val="003342AA"/>
    <w:rsid w:val="00353EB5"/>
    <w:rsid w:val="00384E45"/>
    <w:rsid w:val="0042374E"/>
    <w:rsid w:val="004410AB"/>
    <w:rsid w:val="00497FC4"/>
    <w:rsid w:val="004B088B"/>
    <w:rsid w:val="004C603C"/>
    <w:rsid w:val="00512B01"/>
    <w:rsid w:val="00516E40"/>
    <w:rsid w:val="0054268E"/>
    <w:rsid w:val="00555EA2"/>
    <w:rsid w:val="0059529E"/>
    <w:rsid w:val="00611B96"/>
    <w:rsid w:val="00624033"/>
    <w:rsid w:val="006D1751"/>
    <w:rsid w:val="006F7E8A"/>
    <w:rsid w:val="0070179F"/>
    <w:rsid w:val="00756A39"/>
    <w:rsid w:val="00757249"/>
    <w:rsid w:val="007B0488"/>
    <w:rsid w:val="00847813"/>
    <w:rsid w:val="00870765"/>
    <w:rsid w:val="00884B4C"/>
    <w:rsid w:val="008D73D1"/>
    <w:rsid w:val="009C01F3"/>
    <w:rsid w:val="00A13F59"/>
    <w:rsid w:val="00A25D30"/>
    <w:rsid w:val="00A51F18"/>
    <w:rsid w:val="00A646A9"/>
    <w:rsid w:val="00AB15D2"/>
    <w:rsid w:val="00B40DD9"/>
    <w:rsid w:val="00BC1320"/>
    <w:rsid w:val="00BC7918"/>
    <w:rsid w:val="00BD4786"/>
    <w:rsid w:val="00BD62E3"/>
    <w:rsid w:val="00BF7457"/>
    <w:rsid w:val="00C057BB"/>
    <w:rsid w:val="00C10B7C"/>
    <w:rsid w:val="00C17EA1"/>
    <w:rsid w:val="00C21773"/>
    <w:rsid w:val="00C36EAC"/>
    <w:rsid w:val="00CB27EB"/>
    <w:rsid w:val="00CC0C35"/>
    <w:rsid w:val="00CE3B84"/>
    <w:rsid w:val="00D01615"/>
    <w:rsid w:val="00D10053"/>
    <w:rsid w:val="00D10DBC"/>
    <w:rsid w:val="00D23E6B"/>
    <w:rsid w:val="00D409F4"/>
    <w:rsid w:val="00D621DE"/>
    <w:rsid w:val="00DF7B5F"/>
    <w:rsid w:val="00E37BD3"/>
    <w:rsid w:val="00E579C5"/>
    <w:rsid w:val="00ED6771"/>
    <w:rsid w:val="00F30283"/>
    <w:rsid w:val="00F36A7A"/>
    <w:rsid w:val="00FA7776"/>
    <w:rsid w:val="00FB1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BB85"/>
  <w15:chartTrackingRefBased/>
  <w15:docId w15:val="{BF45A3EF-E8A6-4C8A-AC84-71172BF1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A7A"/>
    <w:rPr>
      <w:lang w:val="en-US"/>
    </w:rPr>
  </w:style>
  <w:style w:type="paragraph" w:styleId="Heading1">
    <w:name w:val="heading 1"/>
    <w:basedOn w:val="Normal"/>
    <w:next w:val="Normal"/>
    <w:link w:val="Heading1Char"/>
    <w:uiPriority w:val="9"/>
    <w:qFormat/>
    <w:rsid w:val="00081B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1B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081B6A"/>
    <w:pPr>
      <w:pBdr>
        <w:top w:val="single" w:sz="4" w:space="10" w:color="5B9BD5" w:themeColor="accent1"/>
        <w:bottom w:val="single" w:sz="4" w:space="10" w:color="5B9BD5" w:themeColor="accent1"/>
      </w:pBdr>
      <w:spacing w:before="360" w:after="360"/>
      <w:ind w:left="864" w:right="864"/>
      <w:jc w:val="center"/>
    </w:pPr>
    <w:rPr>
      <w:i/>
      <w:iCs/>
      <w:color w:val="70AD47" w:themeColor="accent6"/>
    </w:rPr>
  </w:style>
  <w:style w:type="character" w:customStyle="1" w:styleId="IntenseQuoteChar">
    <w:name w:val="Intense Quote Char"/>
    <w:basedOn w:val="DefaultParagraphFont"/>
    <w:link w:val="IntenseQuote"/>
    <w:uiPriority w:val="30"/>
    <w:rsid w:val="00081B6A"/>
    <w:rPr>
      <w:i/>
      <w:iCs/>
      <w:color w:val="70AD47" w:themeColor="accent6"/>
      <w:lang w:val="en-US"/>
    </w:rPr>
  </w:style>
  <w:style w:type="character" w:styleId="Strong">
    <w:name w:val="Strong"/>
    <w:basedOn w:val="DefaultParagraphFont"/>
    <w:uiPriority w:val="22"/>
    <w:qFormat/>
    <w:rsid w:val="00081B6A"/>
    <w:rPr>
      <w:b/>
      <w:bCs/>
    </w:rPr>
  </w:style>
  <w:style w:type="character" w:styleId="IntenseEmphasis">
    <w:name w:val="Intense Emphasis"/>
    <w:basedOn w:val="DefaultParagraphFont"/>
    <w:uiPriority w:val="21"/>
    <w:qFormat/>
    <w:rsid w:val="00081B6A"/>
    <w:rPr>
      <w:i/>
      <w:iCs/>
      <w:color w:val="5B9BD5" w:themeColor="accent1"/>
    </w:rPr>
  </w:style>
  <w:style w:type="character" w:styleId="SubtleEmphasis">
    <w:name w:val="Subtle Emphasis"/>
    <w:basedOn w:val="DefaultParagraphFont"/>
    <w:uiPriority w:val="19"/>
    <w:qFormat/>
    <w:rsid w:val="00081B6A"/>
    <w:rPr>
      <w:i/>
      <w:iCs/>
      <w:color w:val="404040" w:themeColor="text1" w:themeTint="BF"/>
    </w:rPr>
  </w:style>
  <w:style w:type="paragraph" w:styleId="Title">
    <w:name w:val="Title"/>
    <w:basedOn w:val="Normal"/>
    <w:next w:val="Normal"/>
    <w:link w:val="TitleChar"/>
    <w:uiPriority w:val="10"/>
    <w:qFormat/>
    <w:rsid w:val="00081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B6A"/>
    <w:rPr>
      <w:rFonts w:asciiTheme="majorHAnsi" w:eastAsiaTheme="majorEastAsia" w:hAnsiTheme="majorHAnsi" w:cstheme="majorBidi"/>
      <w:spacing w:val="-10"/>
      <w:kern w:val="28"/>
      <w:sz w:val="56"/>
      <w:szCs w:val="56"/>
      <w:lang w:val="en-US"/>
    </w:rPr>
  </w:style>
  <w:style w:type="character" w:customStyle="1" w:styleId="Heading2Char">
    <w:name w:val="Heading 2 Char"/>
    <w:basedOn w:val="DefaultParagraphFont"/>
    <w:link w:val="Heading2"/>
    <w:uiPriority w:val="9"/>
    <w:rsid w:val="00081B6A"/>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081B6A"/>
    <w:rPr>
      <w:rFonts w:asciiTheme="majorHAnsi" w:eastAsiaTheme="majorEastAsia" w:hAnsiTheme="majorHAnsi" w:cstheme="majorBidi"/>
      <w:color w:val="2E74B5" w:themeColor="accent1" w:themeShade="BF"/>
      <w:sz w:val="32"/>
      <w:szCs w:val="32"/>
      <w:lang w:val="en-US"/>
    </w:rPr>
  </w:style>
  <w:style w:type="paragraph" w:styleId="NoSpacing">
    <w:name w:val="No Spacing"/>
    <w:uiPriority w:val="1"/>
    <w:qFormat/>
    <w:rsid w:val="00081B6A"/>
    <w:pPr>
      <w:spacing w:after="0" w:line="240" w:lineRule="auto"/>
    </w:pPr>
    <w:rPr>
      <w:lang w:val="en-US"/>
    </w:rPr>
  </w:style>
  <w:style w:type="character" w:styleId="BookTitle">
    <w:name w:val="Book Title"/>
    <w:basedOn w:val="DefaultParagraphFont"/>
    <w:uiPriority w:val="33"/>
    <w:qFormat/>
    <w:rsid w:val="00081B6A"/>
    <w:rPr>
      <w:b/>
      <w:bCs/>
      <w:i/>
      <w:iCs/>
      <w:spacing w:val="5"/>
    </w:rPr>
  </w:style>
  <w:style w:type="paragraph" w:styleId="ListParagraph">
    <w:name w:val="List Paragraph"/>
    <w:basedOn w:val="Normal"/>
    <w:uiPriority w:val="34"/>
    <w:qFormat/>
    <w:rsid w:val="00081B6A"/>
    <w:pPr>
      <w:ind w:left="720"/>
      <w:contextualSpacing/>
    </w:pPr>
  </w:style>
  <w:style w:type="character" w:styleId="IntenseReference">
    <w:name w:val="Intense Reference"/>
    <w:basedOn w:val="DefaultParagraphFont"/>
    <w:uiPriority w:val="32"/>
    <w:qFormat/>
    <w:rsid w:val="00081B6A"/>
    <w:rPr>
      <w:b/>
      <w:bCs/>
      <w:smallCaps/>
      <w:color w:val="5B9BD5" w:themeColor="accent1"/>
      <w:spacing w:val="5"/>
    </w:rPr>
  </w:style>
  <w:style w:type="character" w:styleId="SubtleReference">
    <w:name w:val="Subtle Reference"/>
    <w:basedOn w:val="DefaultParagraphFont"/>
    <w:uiPriority w:val="31"/>
    <w:qFormat/>
    <w:rsid w:val="00081B6A"/>
    <w:rPr>
      <w:smallCaps/>
      <w:color w:val="5A5A5A" w:themeColor="text1" w:themeTint="A5"/>
    </w:rPr>
  </w:style>
  <w:style w:type="paragraph" w:styleId="Subtitle">
    <w:name w:val="Subtitle"/>
    <w:basedOn w:val="Normal"/>
    <w:next w:val="Normal"/>
    <w:link w:val="SubtitleChar"/>
    <w:uiPriority w:val="11"/>
    <w:qFormat/>
    <w:rsid w:val="00266BB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6BBF"/>
    <w:rPr>
      <w:rFonts w:eastAsiaTheme="minorEastAsia"/>
      <w:color w:val="5A5A5A" w:themeColor="text1" w:themeTint="A5"/>
      <w:spacing w:val="15"/>
      <w:lang w:val="en-US"/>
    </w:rPr>
  </w:style>
  <w:style w:type="character" w:styleId="Emphasis">
    <w:name w:val="Emphasis"/>
    <w:basedOn w:val="DefaultParagraphFont"/>
    <w:uiPriority w:val="20"/>
    <w:qFormat/>
    <w:rsid w:val="00266BBF"/>
    <w:rPr>
      <w:i/>
      <w:iCs/>
    </w:rPr>
  </w:style>
  <w:style w:type="paragraph" w:styleId="Quote">
    <w:name w:val="Quote"/>
    <w:basedOn w:val="Normal"/>
    <w:next w:val="Normal"/>
    <w:link w:val="QuoteChar"/>
    <w:uiPriority w:val="29"/>
    <w:qFormat/>
    <w:rsid w:val="00266BB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6BBF"/>
    <w:rPr>
      <w:i/>
      <w:iCs/>
      <w:color w:val="404040" w:themeColor="text1" w:themeTint="BF"/>
      <w:lang w:val="en-US"/>
    </w:rPr>
  </w:style>
  <w:style w:type="paragraph" w:styleId="TOCHeading">
    <w:name w:val="TOC Heading"/>
    <w:basedOn w:val="Heading1"/>
    <w:next w:val="Normal"/>
    <w:uiPriority w:val="39"/>
    <w:unhideWhenUsed/>
    <w:qFormat/>
    <w:rsid w:val="00516E40"/>
    <w:pPr>
      <w:outlineLvl w:val="9"/>
    </w:pPr>
    <w:rPr>
      <w:lang w:val="hr-HR" w:eastAsia="hr-HR"/>
    </w:rPr>
  </w:style>
  <w:style w:type="table" w:styleId="TableGrid">
    <w:name w:val="Table Grid"/>
    <w:basedOn w:val="TableNormal"/>
    <w:uiPriority w:val="39"/>
    <w:rsid w:val="00F3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36A7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17EA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17EA1"/>
    <w:rPr>
      <w:lang w:val="en-US"/>
    </w:rPr>
  </w:style>
  <w:style w:type="paragraph" w:styleId="Footer">
    <w:name w:val="footer"/>
    <w:basedOn w:val="Normal"/>
    <w:link w:val="FooterChar"/>
    <w:uiPriority w:val="99"/>
    <w:unhideWhenUsed/>
    <w:rsid w:val="00C17EA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17EA1"/>
    <w:rPr>
      <w:lang w:val="en-US"/>
    </w:rPr>
  </w:style>
  <w:style w:type="character" w:styleId="PlaceholderText">
    <w:name w:val="Placeholder Text"/>
    <w:basedOn w:val="DefaultParagraphFont"/>
    <w:uiPriority w:val="99"/>
    <w:semiHidden/>
    <w:rsid w:val="00E37BD3"/>
    <w:rPr>
      <w:color w:val="808080"/>
    </w:rPr>
  </w:style>
  <w:style w:type="paragraph" w:styleId="BalloonText">
    <w:name w:val="Balloon Text"/>
    <w:basedOn w:val="Normal"/>
    <w:link w:val="BalloonTextChar"/>
    <w:uiPriority w:val="99"/>
    <w:semiHidden/>
    <w:unhideWhenUsed/>
    <w:rsid w:val="00A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D2"/>
    <w:rPr>
      <w:rFonts w:ascii="Segoe UI" w:hAnsi="Segoe UI" w:cs="Segoe UI"/>
      <w:sz w:val="18"/>
      <w:szCs w:val="18"/>
      <w:lang w:val="en-US"/>
    </w:rPr>
  </w:style>
  <w:style w:type="character" w:styleId="CommentReference">
    <w:name w:val="annotation reference"/>
    <w:basedOn w:val="DefaultParagraphFont"/>
    <w:uiPriority w:val="99"/>
    <w:semiHidden/>
    <w:unhideWhenUsed/>
    <w:rsid w:val="00884B4C"/>
    <w:rPr>
      <w:sz w:val="16"/>
      <w:szCs w:val="16"/>
    </w:rPr>
  </w:style>
  <w:style w:type="paragraph" w:styleId="CommentText">
    <w:name w:val="annotation text"/>
    <w:basedOn w:val="Normal"/>
    <w:link w:val="CommentTextChar"/>
    <w:uiPriority w:val="99"/>
    <w:semiHidden/>
    <w:unhideWhenUsed/>
    <w:rsid w:val="00884B4C"/>
    <w:pPr>
      <w:spacing w:line="240" w:lineRule="auto"/>
    </w:pPr>
    <w:rPr>
      <w:sz w:val="20"/>
      <w:szCs w:val="20"/>
    </w:rPr>
  </w:style>
  <w:style w:type="character" w:customStyle="1" w:styleId="CommentTextChar">
    <w:name w:val="Comment Text Char"/>
    <w:basedOn w:val="DefaultParagraphFont"/>
    <w:link w:val="CommentText"/>
    <w:uiPriority w:val="99"/>
    <w:semiHidden/>
    <w:rsid w:val="00884B4C"/>
    <w:rPr>
      <w:sz w:val="20"/>
      <w:szCs w:val="20"/>
      <w:lang w:val="en-US"/>
    </w:rPr>
  </w:style>
  <w:style w:type="paragraph" w:styleId="CommentSubject">
    <w:name w:val="annotation subject"/>
    <w:basedOn w:val="CommentText"/>
    <w:next w:val="CommentText"/>
    <w:link w:val="CommentSubjectChar"/>
    <w:uiPriority w:val="99"/>
    <w:semiHidden/>
    <w:unhideWhenUsed/>
    <w:rsid w:val="00884B4C"/>
    <w:rPr>
      <w:b/>
      <w:bCs/>
    </w:rPr>
  </w:style>
  <w:style w:type="character" w:customStyle="1" w:styleId="CommentSubjectChar">
    <w:name w:val="Comment Subject Char"/>
    <w:basedOn w:val="CommentTextChar"/>
    <w:link w:val="CommentSubject"/>
    <w:uiPriority w:val="99"/>
    <w:semiHidden/>
    <w:rsid w:val="00884B4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4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34E696C882945A3640EC155399C86" ma:contentTypeVersion="9" ma:contentTypeDescription="Create a new document." ma:contentTypeScope="" ma:versionID="f57a963c88a3bbb97e738678812d75dd">
  <xsd:schema xmlns:xsd="http://www.w3.org/2001/XMLSchema" xmlns:xs="http://www.w3.org/2001/XMLSchema" xmlns:p="http://schemas.microsoft.com/office/2006/metadata/properties" xmlns:ns3="093da4f9-58f1-42a4-947e-d9859933c478" targetNamespace="http://schemas.microsoft.com/office/2006/metadata/properties" ma:root="true" ma:fieldsID="417e685a1a302c189f25a215730a8b43" ns3:_="">
    <xsd:import namespace="093da4f9-58f1-42a4-947e-d9859933c4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da4f9-58f1-42a4-947e-d985993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2B4A0-E6F8-44DB-B94F-E909770AA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da4f9-58f1-42a4-947e-d9859933c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5BB19-AE0F-478F-8953-751938E482F3}">
  <ds:schemaRefs>
    <ds:schemaRef ds:uri="http://schemas.microsoft.com/sharepoint/v3/contenttype/forms"/>
  </ds:schemaRefs>
</ds:datastoreItem>
</file>

<file path=customXml/itemProps3.xml><?xml version="1.0" encoding="utf-8"?>
<ds:datastoreItem xmlns:ds="http://schemas.openxmlformats.org/officeDocument/2006/customXml" ds:itemID="{8478743B-6821-4015-B2AF-48A557CBE1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1015</Words>
  <Characters>5787</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Krešimir Matošić</cp:lastModifiedBy>
  <cp:revision>8</cp:revision>
  <cp:lastPrinted>2018-11-06T13:32:00Z</cp:lastPrinted>
  <dcterms:created xsi:type="dcterms:W3CDTF">2024-07-01T05:53:00Z</dcterms:created>
  <dcterms:modified xsi:type="dcterms:W3CDTF">2024-10-19T06:30:00Z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0x010100EAB34E696C882945A3640EC155399C86</vt:lpwstr>
  </property>
</Properties>
</file>